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AE" w:rsidRDefault="00804AAE" w:rsidP="00804AA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804AAE" w:rsidRDefault="00804AAE" w:rsidP="00804AAE">
      <w:pPr>
        <w:jc w:val="both"/>
        <w:rPr>
          <w:rFonts w:ascii="Arial" w:hAnsi="Arial" w:cs="Arial"/>
          <w:lang w:val="sr-Latn-CS"/>
        </w:rPr>
      </w:pPr>
    </w:p>
    <w:p w:rsidR="00804AAE" w:rsidRDefault="00804AAE" w:rsidP="00804AAE">
      <w:pPr>
        <w:rPr>
          <w:rFonts w:ascii="Arial" w:hAnsi="Arial" w:cs="Arial"/>
          <w:lang w:val="sr-Latn-CS"/>
        </w:rPr>
      </w:pPr>
    </w:p>
    <w:p w:rsidR="00804AAE" w:rsidRDefault="00804AAE" w:rsidP="00804AA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804AAE" w:rsidRDefault="00804AAE" w:rsidP="00804AA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804AAE" w:rsidRDefault="00804AAE" w:rsidP="00804AAE">
      <w:pPr>
        <w:rPr>
          <w:rFonts w:ascii="Arial" w:hAnsi="Arial" w:cs="Arial"/>
          <w:b/>
          <w:sz w:val="28"/>
          <w:szCs w:val="28"/>
          <w:lang w:val="sr-Latn-CS"/>
        </w:rPr>
      </w:pPr>
    </w:p>
    <w:p w:rsidR="00804AAE" w:rsidRDefault="00804AAE" w:rsidP="00804AAE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804AAE" w:rsidRDefault="00804AAE" w:rsidP="00804AAE">
      <w:pPr>
        <w:rPr>
          <w:rFonts w:ascii="Arial" w:hAnsi="Arial" w:cs="Arial"/>
          <w:b/>
          <w:lang w:val="sr-Latn-CS"/>
        </w:rPr>
      </w:pPr>
    </w:p>
    <w:p w:rsidR="00804AAE" w:rsidRDefault="00804AAE" w:rsidP="00804AAE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804AAE" w:rsidRDefault="00804AAE" w:rsidP="00804AAE">
      <w:pPr>
        <w:rPr>
          <w:rFonts w:ascii="Arial" w:hAnsi="Arial" w:cs="Arial"/>
          <w:sz w:val="28"/>
          <w:szCs w:val="28"/>
          <w:lang w:val="sr-Latn-CS"/>
        </w:rPr>
      </w:pPr>
    </w:p>
    <w:p w:rsidR="00804AAE" w:rsidRDefault="00804AAE" w:rsidP="00804AAE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je nosilac projekta „ZETAGRADNJA“ d.o.o. Podgorica, podnio zahtjev za odlučivanje o potrebi izrade elaborata o  procjeni uticaja n</w:t>
      </w:r>
      <w:r w:rsidR="00F70B96">
        <w:rPr>
          <w:rFonts w:ascii="Arial" w:hAnsi="Arial" w:cs="Arial"/>
          <w:sz w:val="28"/>
          <w:szCs w:val="28"/>
          <w:lang w:val="sr-Latn-CS"/>
        </w:rPr>
        <w:t>a životnu sredinu za poslovni objekat sa podzemnom garažom, na urbanističkoj parceli broj 5, DUP „Zona centralnih djelatnosti – Cetinjski put“ – izmjene i dopune, koju čine KP 1291/2, 1325/15, 1325/16 i 1668/4 KO Podgorica I, Podgorica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p w:rsidR="00804AAE" w:rsidRDefault="00804AAE" w:rsidP="00804AAE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804AAE" w:rsidRDefault="00804AAE" w:rsidP="00804AAE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804AAE" w:rsidRDefault="00804AAE" w:rsidP="00804AAE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804AAE" w:rsidRDefault="00804AAE" w:rsidP="00804AAE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804AAE" w:rsidRDefault="00804AAE" w:rsidP="00804AAE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4AAE"/>
    <w:rsid w:val="00287240"/>
    <w:rsid w:val="00512793"/>
    <w:rsid w:val="00804AAE"/>
    <w:rsid w:val="0086577F"/>
    <w:rsid w:val="00F7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2020-03-13T09:12:00Z</dcterms:created>
  <dcterms:modified xsi:type="dcterms:W3CDTF">2020-03-13T09:16:00Z</dcterms:modified>
</cp:coreProperties>
</file>