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9E" w:rsidRDefault="00EB749E" w:rsidP="00EB749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sr-Latn-CS"/>
        </w:rPr>
        <w:t>Na osnovu člana 11 Zakona o procjeni uticaja na životnu sredinu (''Sl.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list</w:t>
      </w:r>
      <w:proofErr w:type="gramEnd"/>
      <w:r>
        <w:rPr>
          <w:rFonts w:ascii="Arial" w:hAnsi="Arial" w:cs="Arial"/>
          <w:sz w:val="28"/>
          <w:szCs w:val="28"/>
        </w:rPr>
        <w:t xml:space="preserve"> CG“, br. 75</w:t>
      </w:r>
      <w:r>
        <w:rPr>
          <w:rFonts w:ascii="Arial" w:hAnsi="Arial" w:cs="Arial"/>
          <w:sz w:val="28"/>
          <w:szCs w:val="28"/>
          <w:lang w:val="hr-HR"/>
        </w:rPr>
        <w:t>/18</w:t>
      </w:r>
      <w:r>
        <w:rPr>
          <w:rFonts w:ascii="Arial" w:hAnsi="Arial" w:cs="Arial"/>
          <w:sz w:val="28"/>
          <w:szCs w:val="28"/>
          <w:lang w:val="sr-Latn-CS"/>
        </w:rPr>
        <w:t>)</w:t>
      </w:r>
    </w:p>
    <w:p w:rsidR="00EB749E" w:rsidRDefault="00EB749E" w:rsidP="00EB749E">
      <w:pPr>
        <w:jc w:val="both"/>
        <w:rPr>
          <w:rFonts w:ascii="Arial" w:hAnsi="Arial" w:cs="Arial"/>
          <w:lang w:val="sr-Latn-CS"/>
        </w:rPr>
      </w:pPr>
    </w:p>
    <w:p w:rsidR="00EB749E" w:rsidRDefault="00EB749E" w:rsidP="00EB749E">
      <w:pPr>
        <w:rPr>
          <w:rFonts w:ascii="Arial" w:hAnsi="Arial" w:cs="Arial"/>
          <w:lang w:val="sr-Latn-CS"/>
        </w:rPr>
      </w:pPr>
    </w:p>
    <w:p w:rsidR="00EB749E" w:rsidRDefault="00EB749E" w:rsidP="00EB749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Sekretarijat za planiranje prostora i održivi razvoj </w:t>
      </w:r>
    </w:p>
    <w:p w:rsidR="00EB749E" w:rsidRDefault="00EB749E" w:rsidP="00EB749E">
      <w:pPr>
        <w:jc w:val="center"/>
        <w:rPr>
          <w:rFonts w:ascii="Arial" w:hAnsi="Arial" w:cs="Arial"/>
          <w:b/>
          <w:bCs/>
          <w:sz w:val="28"/>
          <w:szCs w:val="28"/>
          <w:lang w:val="sr-Latn-CS"/>
        </w:rPr>
      </w:pPr>
      <w:r>
        <w:rPr>
          <w:rFonts w:ascii="Arial" w:hAnsi="Arial" w:cs="Arial"/>
          <w:b/>
          <w:bCs/>
          <w:sz w:val="28"/>
          <w:szCs w:val="28"/>
          <w:lang w:val="sr-Latn-CS"/>
        </w:rPr>
        <w:t xml:space="preserve">Glavnog grada – Podgorica  </w:t>
      </w:r>
    </w:p>
    <w:p w:rsidR="00EB749E" w:rsidRDefault="00EB749E" w:rsidP="00EB749E">
      <w:pPr>
        <w:rPr>
          <w:rFonts w:ascii="Arial" w:hAnsi="Arial" w:cs="Arial"/>
          <w:b/>
          <w:sz w:val="28"/>
          <w:szCs w:val="28"/>
          <w:lang w:val="sr-Latn-CS"/>
        </w:rPr>
      </w:pPr>
    </w:p>
    <w:p w:rsidR="00EB749E" w:rsidRDefault="00EB749E" w:rsidP="00EB749E">
      <w:pPr>
        <w:jc w:val="center"/>
        <w:rPr>
          <w:rFonts w:ascii="Arial" w:hAnsi="Arial" w:cs="Arial"/>
          <w:b/>
          <w:bCs/>
          <w:sz w:val="32"/>
          <w:szCs w:val="32"/>
          <w:lang w:val="sr-Latn-CS"/>
        </w:rPr>
      </w:pPr>
      <w:r>
        <w:rPr>
          <w:rFonts w:ascii="Arial" w:hAnsi="Arial" w:cs="Arial"/>
          <w:b/>
          <w:bCs/>
          <w:sz w:val="32"/>
          <w:szCs w:val="32"/>
          <w:lang w:val="sr-Latn-CS"/>
        </w:rPr>
        <w:t>OBAVJEŠTAVA</w:t>
      </w:r>
    </w:p>
    <w:p w:rsidR="00EB749E" w:rsidRDefault="00EB749E" w:rsidP="00EB749E">
      <w:pPr>
        <w:rPr>
          <w:rFonts w:ascii="Arial" w:hAnsi="Arial" w:cs="Arial"/>
          <w:b/>
          <w:lang w:val="sr-Latn-CS"/>
        </w:rPr>
      </w:pPr>
    </w:p>
    <w:p w:rsidR="00EB749E" w:rsidRDefault="00EB749E" w:rsidP="00EB749E">
      <w:pPr>
        <w:jc w:val="center"/>
        <w:rPr>
          <w:rFonts w:ascii="Arial" w:hAnsi="Arial" w:cs="Arial"/>
          <w:b/>
          <w:sz w:val="28"/>
          <w:szCs w:val="28"/>
          <w:lang w:val="sr-Latn-CS"/>
        </w:rPr>
      </w:pPr>
      <w:r>
        <w:rPr>
          <w:rFonts w:ascii="Arial" w:hAnsi="Arial" w:cs="Arial"/>
          <w:b/>
          <w:sz w:val="28"/>
          <w:szCs w:val="28"/>
          <w:lang w:val="sr-Latn-CS"/>
        </w:rPr>
        <w:t>zainteresovanu javnost</w:t>
      </w:r>
    </w:p>
    <w:p w:rsidR="00EB749E" w:rsidRDefault="00EB749E" w:rsidP="00EB749E">
      <w:pPr>
        <w:rPr>
          <w:rFonts w:ascii="Arial" w:hAnsi="Arial" w:cs="Arial"/>
          <w:sz w:val="28"/>
          <w:szCs w:val="28"/>
          <w:lang w:val="sr-Latn-CS"/>
        </w:rPr>
      </w:pPr>
    </w:p>
    <w:p w:rsidR="00EB749E" w:rsidRDefault="00EB749E" w:rsidP="00EB749E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da je nosilac projekta „ZETAGRADNJA“ d.o.o. Podgorica, podnio zahtjev za odlučivanje o potrebi izrade elaborata o  procjen</w:t>
      </w:r>
      <w:r w:rsidR="00C455A2">
        <w:rPr>
          <w:rFonts w:ascii="Arial" w:hAnsi="Arial" w:cs="Arial"/>
          <w:sz w:val="28"/>
          <w:szCs w:val="28"/>
          <w:lang w:val="sr-Latn-CS"/>
        </w:rPr>
        <w:t>i uticaja na životnu sredinu za stambeno – poslovni objekat sa podzemnom garažom, na urbanističkoj parceli broj 3, u okviru DUP-a „Konik Stari aerodrom - faza III“- izmjene i dopune, koju čini katastarska parcela 7893/43 KO Podgorica III, Podgorica</w:t>
      </w:r>
      <w:r>
        <w:rPr>
          <w:rFonts w:ascii="Arial" w:hAnsi="Arial" w:cs="Arial"/>
          <w:sz w:val="28"/>
          <w:szCs w:val="28"/>
          <w:lang w:val="sr-Latn-CS"/>
        </w:rPr>
        <w:t>.</w:t>
      </w:r>
    </w:p>
    <w:p w:rsidR="00EB749E" w:rsidRDefault="00EB749E" w:rsidP="00EB749E">
      <w:pPr>
        <w:ind w:firstLine="720"/>
        <w:jc w:val="both"/>
        <w:rPr>
          <w:rFonts w:ascii="Arial" w:hAnsi="Arial" w:cs="Arial"/>
          <w:sz w:val="28"/>
          <w:szCs w:val="28"/>
          <w:lang w:val="sr-Latn-CS"/>
        </w:rPr>
      </w:pPr>
    </w:p>
    <w:p w:rsidR="00EB749E" w:rsidRDefault="00EB749E" w:rsidP="00EB749E">
      <w:pPr>
        <w:tabs>
          <w:tab w:val="left" w:pos="-3240"/>
        </w:tabs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Zahtjev sa potrebnom dokumentacijom o planiranom objektu biće dostupan javnosti u prostorijama Sekretarijata za planiranje prostora i održivi razvoj – Sektor za održivi razvoj, ul. Vuka Karadžića broj 41, kancelarija broj 2, svakog radnog dana u terminu od 12 do 15 časova, u vremenskom okviru od pet dana od dana objavljivanja ovog obavještenja.</w:t>
      </w:r>
    </w:p>
    <w:p w:rsidR="00EB749E" w:rsidRDefault="00EB749E" w:rsidP="00EB749E">
      <w:pPr>
        <w:jc w:val="both"/>
        <w:rPr>
          <w:rFonts w:ascii="Arial" w:hAnsi="Arial" w:cs="Arial"/>
          <w:sz w:val="28"/>
          <w:szCs w:val="28"/>
          <w:lang w:val="sr-Latn-CS"/>
        </w:rPr>
      </w:pPr>
    </w:p>
    <w:p w:rsidR="00EB749E" w:rsidRPr="006B640A" w:rsidRDefault="00EB749E" w:rsidP="00EB749E">
      <w:pPr>
        <w:jc w:val="both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 xml:space="preserve">Primjedbe i mišljenja u pisanoj formi, mogu se dostaviti na adresu ovog organa, kao i na e-mail </w:t>
      </w:r>
      <w:r w:rsidR="006B640A" w:rsidRPr="006B640A">
        <w:rPr>
          <w:rFonts w:ascii="Arial" w:hAnsi="Arial" w:cs="Arial"/>
          <w:sz w:val="28"/>
          <w:szCs w:val="28"/>
          <w:u w:val="single"/>
          <w:lang w:val="sr-Latn-CS"/>
        </w:rPr>
        <w:t>dejan.mugosa@podgorica.me.</w:t>
      </w:r>
    </w:p>
    <w:p w:rsidR="00EB749E" w:rsidRDefault="00EB749E" w:rsidP="00EB749E"/>
    <w:p w:rsidR="0086577F" w:rsidRDefault="0086577F"/>
    <w:sectPr w:rsidR="0086577F" w:rsidSect="00574F5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749E"/>
    <w:rsid w:val="00065926"/>
    <w:rsid w:val="006B640A"/>
    <w:rsid w:val="007751AC"/>
    <w:rsid w:val="0086577F"/>
    <w:rsid w:val="00933488"/>
    <w:rsid w:val="00C455A2"/>
    <w:rsid w:val="00EB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4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B74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4</cp:revision>
  <dcterms:created xsi:type="dcterms:W3CDTF">2020-03-02T08:55:00Z</dcterms:created>
  <dcterms:modified xsi:type="dcterms:W3CDTF">2020-03-02T11:19:00Z</dcterms:modified>
</cp:coreProperties>
</file>