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3" w:rsidRDefault="00902453" w:rsidP="009024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902453" w:rsidRDefault="00902453" w:rsidP="00902453">
      <w:pPr>
        <w:jc w:val="both"/>
        <w:rPr>
          <w:rFonts w:ascii="Arial" w:hAnsi="Arial" w:cs="Arial"/>
          <w:lang w:val="sr-Latn-CS"/>
        </w:rPr>
      </w:pPr>
    </w:p>
    <w:p w:rsidR="00902453" w:rsidRDefault="00902453" w:rsidP="00902453">
      <w:pPr>
        <w:rPr>
          <w:rFonts w:ascii="Arial" w:hAnsi="Arial" w:cs="Arial"/>
          <w:lang w:val="sr-Latn-CS"/>
        </w:rPr>
      </w:pPr>
    </w:p>
    <w:p w:rsidR="00902453" w:rsidRDefault="00902453" w:rsidP="0090245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902453" w:rsidRDefault="00902453" w:rsidP="0090245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902453" w:rsidRDefault="00902453" w:rsidP="00902453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02453" w:rsidRDefault="00902453" w:rsidP="00902453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902453" w:rsidRDefault="00902453" w:rsidP="00902453">
      <w:pPr>
        <w:rPr>
          <w:rFonts w:ascii="Arial" w:hAnsi="Arial" w:cs="Arial"/>
          <w:b/>
          <w:lang w:val="sr-Latn-CS"/>
        </w:rPr>
      </w:pPr>
    </w:p>
    <w:p w:rsidR="00902453" w:rsidRDefault="00902453" w:rsidP="0090245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902453" w:rsidRDefault="00902453" w:rsidP="00902453">
      <w:pPr>
        <w:rPr>
          <w:rFonts w:ascii="Arial" w:hAnsi="Arial" w:cs="Arial"/>
          <w:sz w:val="28"/>
          <w:szCs w:val="28"/>
          <w:lang w:val="sr-Latn-CS"/>
        </w:rPr>
      </w:pPr>
    </w:p>
    <w:p w:rsidR="00902453" w:rsidRDefault="00902453" w:rsidP="00902453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</w:t>
      </w:r>
      <w:r w:rsidR="00C4706F">
        <w:rPr>
          <w:rFonts w:ascii="Arial" w:hAnsi="Arial" w:cs="Arial"/>
          <w:sz w:val="28"/>
          <w:szCs w:val="28"/>
          <w:lang w:val="sr-Latn-CS"/>
        </w:rPr>
        <w:t>e nosilac projekta „Radinović company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</w:t>
      </w:r>
      <w:r w:rsidR="00E96182">
        <w:rPr>
          <w:rFonts w:ascii="Arial" w:hAnsi="Arial" w:cs="Arial"/>
          <w:sz w:val="28"/>
          <w:szCs w:val="28"/>
          <w:lang w:val="sr-Latn-CS"/>
        </w:rPr>
        <w:t>i uticaja na životnu sredinu za izgradnju  poljoprivredno skladišnog objekta, koji se nalazi na katastarskim parcelama br. 939/10, 939/11, 939/12 i 939/13 KO Donji Kokoti u zahvatu DUP-a Podgorica</w:t>
      </w:r>
      <w:r>
        <w:rPr>
          <w:rFonts w:ascii="Arial" w:hAnsi="Arial" w:cs="Arial"/>
          <w:sz w:val="28"/>
          <w:szCs w:val="28"/>
          <w:lang w:val="sr-Latn-CS"/>
        </w:rPr>
        <w:t>, u Podgorici.</w:t>
      </w:r>
    </w:p>
    <w:p w:rsidR="00902453" w:rsidRDefault="00902453" w:rsidP="00902453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902453" w:rsidRDefault="00902453" w:rsidP="00902453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902453" w:rsidRDefault="00902453" w:rsidP="00902453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902453" w:rsidRDefault="00902453" w:rsidP="00902453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902453" w:rsidRDefault="00902453" w:rsidP="00902453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53"/>
    <w:rsid w:val="00413EAC"/>
    <w:rsid w:val="00583529"/>
    <w:rsid w:val="0086577F"/>
    <w:rsid w:val="00902453"/>
    <w:rsid w:val="00C4706F"/>
    <w:rsid w:val="00E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4</cp:revision>
  <dcterms:created xsi:type="dcterms:W3CDTF">2020-05-06T10:21:00Z</dcterms:created>
  <dcterms:modified xsi:type="dcterms:W3CDTF">2020-05-06T10:27:00Z</dcterms:modified>
</cp:coreProperties>
</file>